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62" w:rsidRDefault="00790D62" w:rsidP="00790D62">
      <w:pPr>
        <w:shd w:val="clear" w:color="auto" w:fill="FFFFFF"/>
        <w:spacing w:after="315" w:line="240" w:lineRule="auto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</w:p>
    <w:p w:rsidR="00790D62" w:rsidRPr="00790D62" w:rsidRDefault="00790D62" w:rsidP="00790D62">
      <w:pPr>
        <w:shd w:val="clear" w:color="auto" w:fill="FFFFFF"/>
        <w:spacing w:after="315" w:line="240" w:lineRule="auto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bookmarkStart w:id="0" w:name="_GoBack"/>
      <w:r w:rsidRPr="00790D6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ПЕРЕЧЕНЬ</w:t>
      </w:r>
    </w:p>
    <w:p w:rsidR="00790D62" w:rsidRPr="00790D62" w:rsidRDefault="00790D62" w:rsidP="00790D62">
      <w:pPr>
        <w:shd w:val="clear" w:color="auto" w:fill="FFFFFF"/>
        <w:spacing w:after="315" w:line="240" w:lineRule="auto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proofErr w:type="gramStart"/>
      <w:r w:rsidRPr="00790D6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нормативных</w:t>
      </w:r>
      <w:proofErr w:type="gramEnd"/>
      <w:r w:rsidRPr="00790D6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 муниципального контроля за сохранностью автомобильных дорог местного значения  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Новобибеевского</w:t>
      </w:r>
      <w:r w:rsidRPr="00790D6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сельсовета Болотнинского района Новосибирской области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  <w:gridCol w:w="2424"/>
        <w:gridCol w:w="2461"/>
      </w:tblGrid>
      <w:tr w:rsidR="00790D62" w:rsidRPr="00790D62" w:rsidTr="00790D62">
        <w:tc>
          <w:tcPr>
            <w:tcW w:w="446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bookmarkEnd w:id="0"/>
          <w:p w:rsidR="00790D62" w:rsidRPr="00790D62" w:rsidRDefault="00790D62" w:rsidP="00790D62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2424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90D62" w:rsidRPr="00790D62" w:rsidRDefault="00790D62" w:rsidP="00790D62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2461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90D62" w:rsidRPr="00790D62" w:rsidRDefault="00790D62" w:rsidP="00790D62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</w:p>
        </w:tc>
      </w:tr>
      <w:tr w:rsidR="00790D62" w:rsidRPr="00790D62" w:rsidTr="00790D62">
        <w:trPr>
          <w:trHeight w:val="631"/>
        </w:trPr>
        <w:tc>
          <w:tcPr>
            <w:tcW w:w="9345" w:type="dxa"/>
            <w:gridSpan w:val="3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90D62" w:rsidRPr="00790D62" w:rsidRDefault="00790D62" w:rsidP="00790D62">
            <w:pPr>
              <w:spacing w:after="450" w:line="240" w:lineRule="auto"/>
              <w:rPr>
                <w:rFonts w:ascii="Segoe UI" w:eastAsia="Times New Roman" w:hAnsi="Segoe UI" w:cs="Segoe UI"/>
                <w:b/>
                <w:color w:val="3F4758"/>
                <w:sz w:val="24"/>
                <w:szCs w:val="24"/>
                <w:lang w:eastAsia="ru-RU"/>
              </w:rPr>
            </w:pPr>
            <w:r w:rsidRPr="00790D62">
              <w:rPr>
                <w:rFonts w:ascii="Segoe UI" w:eastAsia="Times New Roman" w:hAnsi="Segoe UI" w:cs="Segoe UI"/>
                <w:b/>
                <w:color w:val="3F4758"/>
                <w:sz w:val="24"/>
                <w:szCs w:val="24"/>
                <w:lang w:eastAsia="ru-RU"/>
              </w:rPr>
              <w:t>Федеральные конституционные законы и федеральные законы</w:t>
            </w:r>
          </w:p>
          <w:p w:rsidR="00790D62" w:rsidRPr="00790D62" w:rsidRDefault="00790D62" w:rsidP="00790D62">
            <w:pPr>
              <w:spacing w:after="450" w:line="240" w:lineRule="auto"/>
              <w:rPr>
                <w:rFonts w:ascii="Segoe UI" w:eastAsia="Times New Roman" w:hAnsi="Segoe UI" w:cs="Segoe UI"/>
                <w:b/>
                <w:color w:val="3F4758"/>
                <w:sz w:val="24"/>
                <w:szCs w:val="24"/>
                <w:lang w:eastAsia="ru-RU"/>
              </w:rPr>
            </w:pPr>
            <w:r w:rsidRPr="00790D62">
              <w:rPr>
                <w:rFonts w:ascii="Segoe UI" w:eastAsia="Times New Roman" w:hAnsi="Segoe UI" w:cs="Segoe UI"/>
                <w:b/>
                <w:color w:val="3F4758"/>
                <w:sz w:val="24"/>
                <w:szCs w:val="24"/>
                <w:lang w:eastAsia="ru-RU"/>
              </w:rPr>
              <w:t> </w:t>
            </w:r>
          </w:p>
        </w:tc>
      </w:tr>
      <w:tr w:rsidR="00790D62" w:rsidRPr="00790D62" w:rsidTr="00790D62">
        <w:tc>
          <w:tcPr>
            <w:tcW w:w="446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90D62" w:rsidRPr="00790D62" w:rsidRDefault="00790D62" w:rsidP="00790D62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Федеральный закон от 8 ноября 2007 г. № 257-ФЗ «Об автомобильных дорогах и о дорожной деятельности в Российской Федерации и о внесении изменений в </w:t>
            </w:r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отдельные законодательные акты Российской Федерации»</w:t>
            </w:r>
          </w:p>
        </w:tc>
        <w:tc>
          <w:tcPr>
            <w:tcW w:w="2424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90D62" w:rsidRPr="00790D62" w:rsidRDefault="00790D62" w:rsidP="00790D62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gramStart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пункты</w:t>
            </w:r>
            <w:proofErr w:type="gramEnd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8, 9, 10, 11, 12 статьи 3;</w:t>
            </w:r>
          </w:p>
          <w:p w:rsidR="00790D62" w:rsidRPr="00790D62" w:rsidRDefault="00790D62" w:rsidP="00790D62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gramStart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статья</w:t>
            </w:r>
            <w:proofErr w:type="gramEnd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22;</w:t>
            </w:r>
          </w:p>
          <w:p w:rsidR="00790D62" w:rsidRPr="00790D62" w:rsidRDefault="00790D62" w:rsidP="00790D62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gramStart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статья</w:t>
            </w:r>
            <w:proofErr w:type="gramEnd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29.</w:t>
            </w:r>
          </w:p>
        </w:tc>
        <w:tc>
          <w:tcPr>
            <w:tcW w:w="2461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90D62" w:rsidRPr="00790D62" w:rsidRDefault="00790D62" w:rsidP="00790D62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gramStart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юридические</w:t>
            </w:r>
            <w:proofErr w:type="gramEnd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лица, индивидуальные предприниматели</w:t>
            </w:r>
          </w:p>
        </w:tc>
      </w:tr>
      <w:tr w:rsidR="00790D62" w:rsidRPr="00790D62" w:rsidTr="00751B4F">
        <w:tc>
          <w:tcPr>
            <w:tcW w:w="9345" w:type="dxa"/>
            <w:gridSpan w:val="3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90D62" w:rsidRDefault="00790D62" w:rsidP="00790D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3F4758"/>
                <w:sz w:val="24"/>
                <w:szCs w:val="24"/>
                <w:lang w:eastAsia="ru-RU"/>
              </w:rPr>
            </w:pPr>
          </w:p>
          <w:p w:rsidR="00790D62" w:rsidRPr="00790D62" w:rsidRDefault="00790D62" w:rsidP="00790D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3F4758"/>
                <w:sz w:val="24"/>
                <w:szCs w:val="24"/>
                <w:lang w:eastAsia="ru-RU"/>
              </w:rPr>
            </w:pPr>
            <w:r w:rsidRPr="00790D62">
              <w:rPr>
                <w:rFonts w:ascii="Segoe UI" w:eastAsia="Times New Roman" w:hAnsi="Segoe UI" w:cs="Segoe UI"/>
                <w:b/>
                <w:color w:val="3F4758"/>
                <w:sz w:val="24"/>
                <w:szCs w:val="24"/>
                <w:lang w:eastAsia="ru-RU"/>
              </w:rPr>
              <w:t>Акты органов Евразийского экономического союза</w:t>
            </w:r>
          </w:p>
          <w:p w:rsidR="00790D62" w:rsidRPr="00790D62" w:rsidRDefault="00790D62" w:rsidP="00790D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3F4758"/>
                <w:sz w:val="24"/>
                <w:szCs w:val="24"/>
                <w:lang w:eastAsia="ru-RU"/>
              </w:rPr>
            </w:pPr>
          </w:p>
        </w:tc>
      </w:tr>
      <w:tr w:rsidR="00790D62" w:rsidRPr="00790D62" w:rsidTr="00790D62">
        <w:tc>
          <w:tcPr>
            <w:tcW w:w="446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90D62" w:rsidRPr="00790D62" w:rsidRDefault="00790D62" w:rsidP="00790D62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Решение комиссии Таможенного союза от 18 октября 2011 г. № 827 об утв. Технического регламента Таможенного союза «Безопасность автомобильных дорог» (ТР ТС - 014 - 2011)  </w:t>
            </w:r>
          </w:p>
        </w:tc>
        <w:tc>
          <w:tcPr>
            <w:tcW w:w="2424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90D62" w:rsidRPr="00790D62" w:rsidRDefault="00790D62" w:rsidP="00790D62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gramStart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пункт</w:t>
            </w:r>
            <w:proofErr w:type="gramEnd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13.1;</w:t>
            </w:r>
          </w:p>
          <w:p w:rsidR="00790D62" w:rsidRPr="00790D62" w:rsidRDefault="00790D62" w:rsidP="00790D62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gramStart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пункт</w:t>
            </w:r>
            <w:proofErr w:type="gramEnd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13.2;</w:t>
            </w:r>
          </w:p>
          <w:p w:rsidR="00790D62" w:rsidRPr="00790D62" w:rsidRDefault="00790D62" w:rsidP="00790D62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gramStart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подпункты</w:t>
            </w:r>
            <w:proofErr w:type="gramEnd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а), б), г) пункта 13.5.</w:t>
            </w:r>
          </w:p>
        </w:tc>
        <w:tc>
          <w:tcPr>
            <w:tcW w:w="2461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90D62" w:rsidRPr="00790D62" w:rsidRDefault="00790D62" w:rsidP="00790D62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gramStart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юридические</w:t>
            </w:r>
            <w:proofErr w:type="gramEnd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лица,</w:t>
            </w:r>
          </w:p>
          <w:p w:rsidR="00790D62" w:rsidRPr="00790D62" w:rsidRDefault="00790D62" w:rsidP="00790D62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gramStart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индивидуальные</w:t>
            </w:r>
            <w:proofErr w:type="gramEnd"/>
            <w:r w:rsidRPr="00790D6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предприниматели при осуществлении деятельности в области использования автомобильных дорог местного значения</w:t>
            </w:r>
          </w:p>
        </w:tc>
      </w:tr>
    </w:tbl>
    <w:p w:rsidR="0088039F" w:rsidRDefault="0088039F"/>
    <w:sectPr w:rsidR="0088039F" w:rsidSect="00790D6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62"/>
    <w:rsid w:val="00790D62"/>
    <w:rsid w:val="008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51A91-B088-48EB-8861-8656C14F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9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2020-10-08T09:08:00Z</dcterms:created>
  <dcterms:modified xsi:type="dcterms:W3CDTF">2020-10-08T09:12:00Z</dcterms:modified>
</cp:coreProperties>
</file>